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76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Kahramanmaraş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İl Umumi Hıfzıssıhha Meclisi 15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.0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9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2021 günü saat 1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.00’d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e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Vali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miz Ömer Faruk COŞKUN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Başkanlığında Valilik Toplantı Salonunda toplanarak aşağıdaki kararları almıştır.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Ç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eşitli sebeplerle (yükseköğretim, çalışma, gezi vb.)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g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eçici olarak bulunduğu yerde PCR test sonucu pozitif olduğu anlaşılan kişilerin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izolasyon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süreçlerini geçirmek üzere özel araçlarıyla (toplu taşıma vasıtaları kesinlikle kullanılmayacaktır) asıl ikametlerine dönmelerine yolculuk sırasında sair sebeplerle (mola vb.) diğer kişilerle temas etmeyeceğine yönelik taahhütte bulunması koşuluyla izin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verilmesi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ne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,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Asıl ikametlerine gide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meyecek durumda olanların,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Valiliğimiz ve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Kaymak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amlıklarca belirlenen yerlerde karantina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ya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alınmasına,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konaklama bedellerinin,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izolasyona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tabi tutulan kişilerce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karşılanması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na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, ancak yapılacak gelir tespitine göre konaklama bedelini karşılayamayacak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durumdaki kişilere ait giderlerin ise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Sosyal Yardımlaşma ve Dayanışma Vakıflarınca destek sağlanması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na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,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İzolasyon koşullarını ihlal etmesi nedeniyle zorunlu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izolasyona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tabi tutulacak kişilerin Valili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ğimizce ve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Kaymakamlıklarca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tespit edilen yerler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de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konaklama bedelini kendileri ödemek kaydıyla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izole edilmesine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,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Geçici olarak bulunduğu yerlerde PCR test sonucu pozitif olduğu anlaşılan ve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izolasyona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alınabileceği herhangi bir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yeri bulunmayan kişilerin izolasyo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na tabi tutulmaları için Valiliğimiz ve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Kaymakamlıklarca belirlenen yerler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d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e;</w:t>
      </w:r>
    </w:p>
    <w:p>
      <w:pPr>
        <w:pStyle w:val="style179"/>
        <w:numPr>
          <w:ilvl w:val="0"/>
          <w:numId w:val="3"/>
        </w:numPr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Ziyaretçi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kabul edilmemesi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ne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,</w:t>
      </w:r>
    </w:p>
    <w:p>
      <w:pPr>
        <w:pStyle w:val="style179"/>
        <w:numPr>
          <w:ilvl w:val="0"/>
          <w:numId w:val="3"/>
        </w:numPr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Güvenlik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önlemleri için yeteri kadar güvenlik/kolluk personeli görevlendirilmesi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ne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,</w:t>
      </w:r>
    </w:p>
    <w:p>
      <w:pPr>
        <w:pStyle w:val="style179"/>
        <w:numPr>
          <w:ilvl w:val="0"/>
          <w:numId w:val="3"/>
        </w:numPr>
        <w:spacing w:after="0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İzolasyona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tabi tutulması kararlaştırılan kişilerin sağlık durumlarını gözlemlemek ve buralarda görevli personelin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salgınla mücadelede belirlenen tedbirlere uygun çalışmasını sağlamak üzere yeterli sağlık personeli görevlendirilmesi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ne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tLeast" w:line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Alınan kararların Valilik, Büyükşehir Belediyesi, kaymakamlıklar ve ilçe belediyeleri internet sayfalarında ilan edilmesine,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Alınan kararların İl Basın ve Halkla İlişkiler Müdürlüğü tarafından yerel basında duyurulmasına,</w:t>
      </w:r>
    </w:p>
    <w:p>
      <w:pPr>
        <w:pStyle w:val="style179"/>
        <w:numPr>
          <w:ilvl w:val="0"/>
          <w:numId w:val="1"/>
        </w:numPr>
        <w:spacing w:after="0" w:lineRule="atLeast" w:line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İlan edilen tutanakların dosyasında muhafaza edilmesine,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Alınan kararların Kolluk, Zabıta, Sağlık, Gıda Tarım ve Hayvancılık, Milli Eğitim, Gençlik ve Spor İl Müdürlüğü personellerince ve Kaymakamlarımızca uygun görülen diğer personeller tarafından eşgüdümlü yürütülmesine,</w:t>
      </w:r>
    </w:p>
    <w:p>
      <w:pPr>
        <w:pStyle w:val="style179"/>
        <w:numPr>
          <w:ilvl w:val="0"/>
          <w:numId w:val="1"/>
        </w:numPr>
        <w:spacing w:after="0" w:lineRule="atLeast" w:line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Alınan idari tedbirlere uymayanlara 1593 Sayılı Umumi Hıfzıssıhha Kanunu gereği idari işlemlerin kaymakamlarımız tarafından yapılmasına,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Alınan karalara uymayarak toplum sağlığını tehlikeye düşürenler hakkında Kaymakamlıklarca adli makamlara suç duyurusunda bulunulmasına,</w:t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Oybirliğiyle karar verilmiştir.</w:t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tr-TR"/>
        </w:rPr>
        <w:t>Ömer Faruk COŞKUN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sz w:val="24"/>
          <w:szCs w:val="24"/>
          <w:lang w:eastAsia="tr-TR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sz w:val="24"/>
          <w:szCs w:val="24"/>
          <w:lang w:eastAsia="tr-TR"/>
        </w:rPr>
      </w:pPr>
      <w:r>
        <w:rPr>
          <w:rFonts w:ascii="Times New Roman" w:cs="Times New Roman" w:eastAsia="Calibri" w:hAnsi="Times New Roman"/>
          <w:sz w:val="24"/>
          <w:szCs w:val="24"/>
          <w:lang w:eastAsia="tr-TR"/>
        </w:rPr>
        <w:t>Vali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sz w:val="24"/>
          <w:szCs w:val="24"/>
          <w:lang w:eastAsia="tr-TR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sz w:val="24"/>
          <w:szCs w:val="24"/>
          <w:lang w:eastAsia="tr-TR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sz w:val="24"/>
          <w:szCs w:val="24"/>
          <w:lang w:eastAsia="tr-TR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sz w:val="24"/>
          <w:szCs w:val="24"/>
          <w:lang w:eastAsia="tr-TR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sz w:val="24"/>
          <w:szCs w:val="24"/>
          <w:lang w:eastAsia="tr-TR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2943"/>
        <w:gridCol w:w="3686"/>
        <w:gridCol w:w="3686"/>
      </w:tblGrid>
      <w:tr>
        <w:trPr>
          <w:trHeight w:val="313" w:hRule="atLeast"/>
        </w:trPr>
        <w:tc>
          <w:tcPr>
            <w:tcW w:w="2943" w:type="dxa"/>
            <w:tcBorders/>
            <w:shd w:val="clear" w:color="auto" w:fill="auto"/>
            <w:hideMark/>
          </w:tcPr>
          <w:p>
            <w:pPr>
              <w:pStyle w:val="style0"/>
              <w:spacing w:lineRule="auto" w:line="256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Hayrettin GÜNGÖR</w:t>
            </w: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Uzm. Dr. Ali Nuri ÖKSÜZ</w:t>
            </w: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 xml:space="preserve"> Mustafa BOZKURT</w:t>
            </w:r>
          </w:p>
        </w:tc>
      </w:tr>
      <w:tr>
        <w:tblPrEx/>
        <w:trPr>
          <w:trHeight w:val="1681" w:hRule="atLeast"/>
        </w:trPr>
        <w:tc>
          <w:tcPr>
            <w:tcW w:w="2943" w:type="dxa"/>
            <w:tcBorders/>
            <w:shd w:val="clear" w:color="auto" w:fill="auto"/>
            <w:hideMark/>
          </w:tcPr>
          <w:p>
            <w:pPr>
              <w:pStyle w:val="style0"/>
              <w:spacing w:lineRule="auto" w:line="256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 xml:space="preserve">Büyükşehir Belediye </w:t>
            </w:r>
          </w:p>
          <w:p>
            <w:pPr>
              <w:pStyle w:val="style0"/>
              <w:spacing w:lineRule="auto" w:line="256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Başkanı</w:t>
            </w:r>
          </w:p>
          <w:p>
            <w:pPr>
              <w:pStyle w:val="style0"/>
              <w:spacing w:lineRule="auto" w:line="256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  <w:p>
            <w:pPr>
              <w:pStyle w:val="style0"/>
              <w:spacing w:lineRule="auto" w:line="256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  <w:p>
            <w:pPr>
              <w:pStyle w:val="style0"/>
              <w:spacing w:lineRule="auto" w:line="256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İl Sağlık Müdürü</w:t>
            </w:r>
          </w:p>
          <w:p>
            <w:pPr>
              <w:pStyle w:val="style0"/>
              <w:jc w:val="right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İl Tarım ve Orman Müdür V.</w:t>
            </w:r>
          </w:p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</w:tc>
      </w:tr>
      <w:tr>
        <w:tblPrEx/>
        <w:trPr>
          <w:trHeight w:val="280" w:hRule="atLeast"/>
        </w:trPr>
        <w:tc>
          <w:tcPr>
            <w:tcW w:w="2943" w:type="dxa"/>
            <w:tcBorders/>
            <w:shd w:val="clear" w:color="auto" w:fill="auto"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 xml:space="preserve">       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Osman ARISAL</w:t>
            </w: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cs="Times New Roman" w:eastAsia="Calibri" w:hAnsi="Times New Roman"/>
                <w:sz w:val="24"/>
                <w:szCs w:val="24"/>
                <w:lang w:val="en-US" w:eastAsia="tr-TR"/>
              </w:rPr>
              <w:t>Yusuf KAHRAMAN</w:t>
            </w: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Dr.Yağmur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 xml:space="preserve"> DİRİ</w:t>
            </w:r>
          </w:p>
        </w:tc>
      </w:tr>
      <w:tr>
        <w:tblPrEx/>
        <w:trPr>
          <w:trHeight w:val="1695" w:hRule="atLeast"/>
        </w:trPr>
        <w:tc>
          <w:tcPr>
            <w:tcW w:w="2943" w:type="dxa"/>
            <w:tcBorders/>
            <w:shd w:val="clear" w:color="auto" w:fill="auto"/>
            <w:hideMark/>
          </w:tcPr>
          <w:p>
            <w:pPr>
              <w:pStyle w:val="style0"/>
              <w:ind w:right="-108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Çevre ve Şehircilik İl Müdürü</w:t>
            </w:r>
          </w:p>
          <w:p>
            <w:pPr>
              <w:pStyle w:val="style0"/>
              <w:ind w:right="-108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  <w:p>
            <w:pPr>
              <w:pStyle w:val="style0"/>
              <w:ind w:right="-108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  <w:p>
            <w:pPr>
              <w:pStyle w:val="style0"/>
              <w:ind w:right="-108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İl Milli Eğitim Müdürü</w:t>
            </w: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Garnizon Tabibi</w:t>
            </w:r>
          </w:p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cs="Times New Roman" w:eastAsia="Calibri" w:hAnsi="Times New Roman"/>
                <w:sz w:val="24"/>
                <w:szCs w:val="24"/>
                <w:lang w:val="en-US" w:eastAsia="tr-TR"/>
              </w:rPr>
              <w:t>(Katılmadı)</w:t>
            </w:r>
          </w:p>
        </w:tc>
      </w:tr>
      <w:tr>
        <w:tblPrEx/>
        <w:trPr>
          <w:trHeight w:val="360" w:hRule="atLeast"/>
        </w:trPr>
        <w:tc>
          <w:tcPr>
            <w:tcW w:w="2943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Uzm.Dr.Vehbi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 xml:space="preserve"> ŞİRİKÇİ</w:t>
            </w: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Uzm.Dr.A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.Hakan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 xml:space="preserve"> BAYAZIT</w:t>
            </w: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Ecz. Fatma Nilgün KARSLIGİL</w:t>
            </w:r>
          </w:p>
        </w:tc>
      </w:tr>
      <w:tr>
        <w:tblPrEx/>
        <w:trPr>
          <w:trHeight w:val="1625" w:hRule="atLeast"/>
        </w:trPr>
        <w:tc>
          <w:tcPr>
            <w:tcW w:w="2943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Necip Fazıl Şehir Hastanesi Başhekimi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Serbest Tabip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/>
            <w:shd w:val="clear" w:color="auto" w:fill="auto"/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Serbest Eczacı</w:t>
            </w:r>
          </w:p>
        </w:tc>
      </w:tr>
      <w:tr>
        <w:tblPrEx/>
        <w:trPr>
          <w:trHeight w:val="80" w:hRule="atLeast"/>
        </w:trPr>
        <w:tc>
          <w:tcPr>
            <w:tcW w:w="2943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Prof.Dr.Selma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 xml:space="preserve"> ATEŞ</w:t>
            </w:r>
          </w:p>
          <w:p>
            <w:pPr>
              <w:pStyle w:val="style0"/>
              <w:ind w:right="-108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  <w:t>KSÜ Enfeksiyon Hastalıkları Uzmanı</w:t>
            </w:r>
          </w:p>
        </w:tc>
        <w:tc>
          <w:tcPr>
            <w:tcW w:w="3686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tr-TR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tr-TR"/>
        </w:rPr>
      </w:pPr>
    </w:p>
    <w:sectPr>
      <w:headerReference w:type="default" r:id="rId2"/>
      <w:pgSz w:w="11906" w:h="16838" w:orient="portrait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a2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002020404"/>
    <w:charset w:val="a2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a2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40"/>
      <w:jc w:val="center"/>
      <w:outlineLvl w:val="0"/>
      <w:rPr>
        <w:rFonts w:ascii="Times New Roman" w:cs="Times New Roman" w:eastAsia="Calibri" w:hAnsi="Times New Roman"/>
        <w:b/>
        <w:i/>
        <w:sz w:val="24"/>
        <w:szCs w:val="24"/>
        <w:lang w:eastAsia="tr-TR"/>
      </w:rPr>
    </w:pPr>
    <w:r>
      <w:rPr>
        <w:rFonts w:ascii="Times New Roman" w:cs="Times New Roman" w:eastAsia="Calibri" w:hAnsi="Times New Roman"/>
        <w:b/>
        <w:sz w:val="24"/>
        <w:szCs w:val="24"/>
        <w:lang w:eastAsia="tr-TR"/>
      </w:rPr>
      <w:t>İL UMUMİ HIFZISSIHHA MECLİS KARARI</w:t>
    </w:r>
  </w:p>
  <w:p>
    <w:pPr>
      <w:pStyle w:val="style0"/>
      <w:spacing w:after="0"/>
      <w:ind w:right="-360"/>
      <w:jc w:val="both"/>
      <w:rPr>
        <w:rFonts w:ascii="Times New Roman" w:cs="Times New Roman" w:eastAsia="Times New Roman" w:hAnsi="Times New Roman"/>
        <w:bCs/>
        <w:sz w:val="24"/>
        <w:szCs w:val="24"/>
        <w:lang w:eastAsia="tr-TR"/>
      </w:rPr>
    </w:pPr>
  </w:p>
  <w:p>
    <w:pPr>
      <w:pStyle w:val="style0"/>
      <w:spacing w:after="0" w:lineRule="auto" w:line="276"/>
      <w:ind w:right="-360"/>
      <w:jc w:val="both"/>
      <w:rPr>
        <w:rFonts w:ascii="Times New Roman" w:cs="Times New Roman" w:eastAsia="Times New Roman" w:hAnsi="Times New Roman"/>
        <w:bCs/>
        <w:sz w:val="24"/>
        <w:szCs w:val="24"/>
        <w:lang w:eastAsia="tr-TR"/>
      </w:rPr>
    </w:pPr>
    <w:r>
      <w:rPr>
        <w:rFonts w:ascii="Times New Roman" w:cs="Times New Roman" w:eastAsia="Times New Roman" w:hAnsi="Times New Roman"/>
        <w:bCs/>
        <w:sz w:val="24"/>
        <w:szCs w:val="24"/>
        <w:lang w:eastAsia="tr-TR"/>
      </w:rPr>
      <w:t>KARAR NO</w:t>
    </w:r>
    <w:r>
      <w:rPr>
        <w:rFonts w:ascii="Times New Roman" w:cs="Times New Roman" w:eastAsia="Times New Roman" w:hAnsi="Times New Roman"/>
        <w:bCs/>
        <w:sz w:val="24"/>
        <w:szCs w:val="24"/>
        <w:lang w:eastAsia="tr-TR"/>
      </w:rPr>
      <w:tab/>
    </w:r>
    <w:r>
      <w:rPr>
        <w:rFonts w:ascii="Times New Roman" w:cs="Times New Roman" w:eastAsia="Times New Roman" w:hAnsi="Times New Roman"/>
        <w:bCs/>
        <w:sz w:val="24"/>
        <w:szCs w:val="24"/>
        <w:lang w:eastAsia="tr-TR"/>
      </w:rPr>
      <w:tab/>
    </w:r>
    <w:r>
      <w:rPr>
        <w:rFonts w:ascii="Times New Roman" w:cs="Times New Roman" w:eastAsia="Times New Roman" w:hAnsi="Times New Roman"/>
        <w:sz w:val="24"/>
        <w:szCs w:val="24"/>
        <w:lang w:eastAsia="tr-TR"/>
      </w:rPr>
      <w:t>: 39</w:t>
    </w:r>
  </w:p>
  <w:p>
    <w:pPr>
      <w:pStyle w:val="style0"/>
      <w:spacing w:after="0" w:lineRule="auto" w:line="276"/>
      <w:ind w:right="-360"/>
      <w:jc w:val="both"/>
      <w:rPr>
        <w:rFonts w:ascii="Times New Roman" w:cs="Times New Roman" w:eastAsia="Times New Roman" w:hAnsi="Times New Roman"/>
        <w:sz w:val="24"/>
        <w:szCs w:val="24"/>
        <w:lang w:eastAsia="tr-TR"/>
      </w:rPr>
    </w:pPr>
    <w:r>
      <w:rPr>
        <w:rFonts w:ascii="Times New Roman" w:cs="Times New Roman" w:eastAsia="Times New Roman" w:hAnsi="Times New Roman"/>
        <w:bCs/>
        <w:sz w:val="24"/>
        <w:szCs w:val="24"/>
        <w:lang w:eastAsia="tr-TR"/>
      </w:rPr>
      <w:t>KARAR TARİHİ</w:t>
    </w:r>
    <w:r>
      <w:rPr>
        <w:rFonts w:ascii="Times New Roman" w:cs="Times New Roman" w:eastAsia="Times New Roman" w:hAnsi="Times New Roman"/>
        <w:bCs/>
        <w:sz w:val="24"/>
        <w:szCs w:val="24"/>
        <w:lang w:eastAsia="tr-TR"/>
      </w:rPr>
      <w:tab/>
    </w:r>
    <w:r>
      <w:rPr>
        <w:rFonts w:ascii="Times New Roman" w:cs="Times New Roman" w:eastAsia="Times New Roman" w:hAnsi="Times New Roman"/>
        <w:sz w:val="24"/>
        <w:szCs w:val="24"/>
        <w:lang w:eastAsia="tr-TR"/>
      </w:rPr>
      <w:t>: 15</w:t>
    </w:r>
    <w:r>
      <w:rPr>
        <w:rFonts w:ascii="Times New Roman" w:cs="Times New Roman" w:eastAsia="Times New Roman" w:hAnsi="Times New Roman"/>
        <w:sz w:val="24"/>
        <w:szCs w:val="24"/>
        <w:lang w:eastAsia="tr-TR"/>
      </w:rPr>
      <w:t>.0</w:t>
    </w:r>
    <w:r>
      <w:rPr>
        <w:rFonts w:ascii="Times New Roman" w:cs="Times New Roman" w:eastAsia="Times New Roman" w:hAnsi="Times New Roman"/>
        <w:sz w:val="24"/>
        <w:szCs w:val="24"/>
        <w:lang w:eastAsia="tr-TR"/>
      </w:rPr>
      <w:t>9</w:t>
    </w:r>
    <w:r>
      <w:rPr>
        <w:rFonts w:ascii="Times New Roman" w:cs="Times New Roman" w:eastAsia="Times New Roman" w:hAnsi="Times New Roman"/>
        <w:sz w:val="24"/>
        <w:szCs w:val="24"/>
        <w:lang w:eastAsia="tr-TR"/>
      </w:rPr>
      <w:t>.2021</w:t>
    </w:r>
  </w:p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21490DE"/>
    <w:lvl w:ilvl="0" w:tplc="011CF5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1"/>
    <w:multiLevelType w:val="hybridMultilevel"/>
    <w:tmpl w:val="F2FA14F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D3E77BE"/>
    <w:lvl w:ilvl="0" w:tplc="2BC2022C">
      <w:start w:val="1"/>
      <w:numFmt w:val="bullet"/>
      <w:lvlText w:val="-"/>
      <w:lvlJc w:val="left"/>
      <w:pPr>
        <w:ind w:left="1004" w:hanging="360"/>
      </w:pPr>
      <w:rPr>
        <w:rFonts w:ascii="Times New Roman" w:cs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Üstbilgi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Altbilgi Ch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on Metni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360</Words>
  <Pages>2</Pages>
  <Characters>2740</Characters>
  <Application>WPS Office</Application>
  <DocSecurity>0</DocSecurity>
  <Paragraphs>84</Paragraphs>
  <ScaleCrop>false</ScaleCrop>
  <LinksUpToDate>false</LinksUpToDate>
  <CharactersWithSpaces>3071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2021-09-15T15:02:46Z</dcterms:created>
  <dc:creator>EMİNE AYHAN</dc:creator>
  <lastModifiedBy>Redmi Note 8</lastModifiedBy>
  <dcterms:modified xsi:type="dcterms:W3CDTF">2021-09-15T15:02:46Z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e8fbfa50e02f43c7850d3917bb66a044</vt:lpwstr>
  </property>
</Properties>
</file>